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FC33DD" w14:textId="42ADCE59" w:rsidR="0072059E" w:rsidRDefault="00700B3F" w:rsidP="00AF2A24">
      <w:pPr>
        <w:pStyle w:val="Subhead"/>
        <w:rPr>
          <w:bCs/>
          <w:iCs w:val="0"/>
          <w:spacing w:val="-10"/>
          <w:kern w:val="28"/>
          <w:sz w:val="40"/>
          <w:szCs w:val="40"/>
        </w:rPr>
      </w:pPr>
      <w:r>
        <w:rPr>
          <w:spacing w:val="-10"/>
          <w:kern w:val="28"/>
          <w:sz w:val="40"/>
        </w:rPr>
        <w:t>Kleemann │ Train d'installations PRO interconnecté convainc dans les Caraïbes</w:t>
      </w:r>
    </w:p>
    <w:p w14:paraId="3DB067B3" w14:textId="15701C01" w:rsidR="0072059E" w:rsidRPr="00955892" w:rsidRDefault="0072059E" w:rsidP="00AF2A24">
      <w:pPr>
        <w:pStyle w:val="Teaser"/>
        <w:rPr>
          <w:rFonts w:eastAsiaTheme="majorEastAsia" w:cstheme="majorBidi"/>
          <w:iCs/>
          <w:szCs w:val="22"/>
        </w:rPr>
      </w:pPr>
      <w:r>
        <w:rPr>
          <w:rFonts w:eastAsiaTheme="majorEastAsia" w:cstheme="majorBidi"/>
        </w:rPr>
        <w:t xml:space="preserve">Afin d'obtenir des produits finaux pour la fabrication d'asphalte, un train d'installations PRO de Kleemann est utilisé dans l'état insulaire de Trinité &amp; Tobago : le concasseur à mâchoires mobile MOBICAT MC 120 Z PRO et le broyeur à cône mobile MOBICONE MCO 11 PRO. L'installation de criblage mobile MOBISCREEN MS 953 EVO complète le processus dans la carrière de calcaire. </w:t>
      </w:r>
    </w:p>
    <w:p w14:paraId="7C0E932A" w14:textId="44C2A664" w:rsidR="0072059E" w:rsidRPr="00700B3F" w:rsidRDefault="0072059E" w:rsidP="0072059E">
      <w:pPr>
        <w:pStyle w:val="Standardabsatz"/>
        <w:rPr>
          <w:bCs/>
        </w:rPr>
      </w:pPr>
      <w:r>
        <w:t>Une bonne qualité de produit final et l'association simple des différentes machines en un train d'installations étaient les critères essentiels pour le choix de la technique. Sur le train d'installations PRO de Kleemann, l'interconnexion simple des machines et le processus automatique et optimisé facilitent l'exploitation.</w:t>
      </w:r>
    </w:p>
    <w:p w14:paraId="2AE21E23" w14:textId="4A53E01E" w:rsidR="00AF2A24" w:rsidRPr="00793E43" w:rsidRDefault="001C7AE5" w:rsidP="00717074">
      <w:pPr>
        <w:pStyle w:val="Absatzberschrift"/>
      </w:pPr>
      <w:r>
        <w:t>Disponibilité et performances doublées grâce à l'interconnexion</w:t>
      </w:r>
    </w:p>
    <w:p w14:paraId="376915E4" w14:textId="7DFA3742" w:rsidR="00C146B1" w:rsidRDefault="0072059E" w:rsidP="00CF5C63">
      <w:pPr>
        <w:pStyle w:val="Absatzberschrift"/>
        <w:jc w:val="both"/>
        <w:rPr>
          <w:b w:val="0"/>
        </w:rPr>
      </w:pPr>
      <w:r>
        <w:rPr>
          <w:b w:val="0"/>
        </w:rPr>
        <w:t xml:space="preserve">Le train d'installations comprend trois machines qui sont couplées techniquement entre elles. Grâce à la coordination automatisée, les opérateurs sont soulagés, le processus est harmonisé et donc stabilisé. Chaque machine fonctionne de manière autonome, mais envoie en cas de dérangements ou de surcharge due à trop de matériau d'alimentation des signaux aux machines en amont et en aval. La régulation d'alimentation Continuous Feed System (CFS) veille en outre à un taux d'occupation optimal des broyeurs qui sont ainsi chargés régulièrement en matériau. En outre, l'association de toutes les machines garantit la sécurité : si un bouton d'arrêt d'urgence est actionné au sein du train, toutes les installations s'arrêtent. Ce concept évite les dommages et situations de surcharge. </w:t>
      </w:r>
    </w:p>
    <w:p w14:paraId="344BC006" w14:textId="77777777" w:rsidR="00C146B1" w:rsidRDefault="00C146B1" w:rsidP="00CF5C63">
      <w:pPr>
        <w:pStyle w:val="Absatzberschrift"/>
        <w:jc w:val="both"/>
        <w:rPr>
          <w:b w:val="0"/>
        </w:rPr>
      </w:pPr>
    </w:p>
    <w:p w14:paraId="66617A5A" w14:textId="585FF668" w:rsidR="00936642" w:rsidRDefault="002B75C5" w:rsidP="00CF5C63">
      <w:pPr>
        <w:pStyle w:val="Absatzberschrift"/>
        <w:jc w:val="both"/>
        <w:rPr>
          <w:b w:val="0"/>
        </w:rPr>
      </w:pPr>
      <w:r>
        <w:rPr>
          <w:b w:val="0"/>
        </w:rPr>
        <w:t>Lors de l'utilisation à Trinité &amp; Tobago, l'entreprise exécutante a pu, grâce à l'interconnexion, doubler la disponibilité et les performances par rapport aux installations utilisées jusqu'à présent dans la carrière.</w:t>
      </w:r>
    </w:p>
    <w:p w14:paraId="3CEBD79D" w14:textId="77777777" w:rsidR="00936642" w:rsidRDefault="00936642" w:rsidP="00CF5C63">
      <w:pPr>
        <w:pStyle w:val="Absatzberschrift"/>
        <w:jc w:val="both"/>
        <w:rPr>
          <w:b w:val="0"/>
        </w:rPr>
      </w:pPr>
    </w:p>
    <w:p w14:paraId="7F5DDDD0" w14:textId="2F585370" w:rsidR="0072059E" w:rsidRPr="00936642" w:rsidRDefault="001C7AE5" w:rsidP="00CF5C63">
      <w:pPr>
        <w:pStyle w:val="Absatzberschrift"/>
        <w:jc w:val="both"/>
        <w:rPr>
          <w:b w:val="0"/>
        </w:rPr>
      </w:pPr>
      <w:r>
        <w:rPr>
          <w:b w:val="0"/>
        </w:rPr>
        <w:t xml:space="preserve">L'utilisation du personnel se fait également de manière encore plus efficace. Normalement, on prévoit un opérateur par installation, plus le conducteur de l'excavatrice. Grâce à l'interconnexion, l'ensemble du processus peut être piloté avec seulement deux opérateurs, au lieu de quatre. Les deux autres employés peuvent se charger en parallèle d'autres tâches, </w:t>
      </w:r>
      <w:proofErr w:type="gramStart"/>
      <w:r>
        <w:rPr>
          <w:b w:val="0"/>
        </w:rPr>
        <w:t>comme par exemple</w:t>
      </w:r>
      <w:proofErr w:type="gramEnd"/>
      <w:r>
        <w:rPr>
          <w:b w:val="0"/>
        </w:rPr>
        <w:t xml:space="preserve"> la mise à disposition des matériaux ou bien la logistique dans la carrière.</w:t>
      </w:r>
    </w:p>
    <w:p w14:paraId="43F804F6" w14:textId="77777777" w:rsidR="0072059E" w:rsidRDefault="0072059E" w:rsidP="00CF5C63">
      <w:pPr>
        <w:pStyle w:val="Absatzberschrift"/>
        <w:jc w:val="both"/>
        <w:rPr>
          <w:b w:val="0"/>
        </w:rPr>
      </w:pPr>
    </w:p>
    <w:p w14:paraId="1A96060F" w14:textId="75458554" w:rsidR="00AF2A24" w:rsidRPr="00793E43" w:rsidRDefault="0072059E" w:rsidP="00717074">
      <w:pPr>
        <w:pStyle w:val="Absatzberschrift"/>
      </w:pPr>
      <w:r>
        <w:t>Commande intuitive, dans des conditions spéciales</w:t>
      </w:r>
    </w:p>
    <w:p w14:paraId="69337360" w14:textId="7D8F1DF2" w:rsidR="0072059E" w:rsidRDefault="0072059E" w:rsidP="00CF5C63">
      <w:pPr>
        <w:pStyle w:val="Standardabsatz"/>
      </w:pPr>
      <w:r>
        <w:t xml:space="preserve">Après la livraison des nouvelles installations en septembre 2020, le projet a été confronté à un défi particulier en raison de la pandémie mondiale de Covid 19 : la mise en service du train d'installations a dû être effectuée en ligne sans assistance sur place. Un an plus tard, on peut constater à quel point cela a bien fonctionné malgré ces aléas : il n'y a pas eu de problèmes notables et les machines et les outils de broyage ne présentent pratiquement pas d'usure. La longue durée de vie des composants est due d'une part au matériau peu abrasif, mais surtout à un processus très bien réglé et donc à un flux de matériau optimal. </w:t>
      </w:r>
    </w:p>
    <w:p w14:paraId="44FF278B" w14:textId="6FAD5F71" w:rsidR="00AF2A24" w:rsidRPr="00827719" w:rsidRDefault="0072059E" w:rsidP="00CF5C63">
      <w:pPr>
        <w:pStyle w:val="Standardabsatz"/>
      </w:pPr>
      <w:r>
        <w:lastRenderedPageBreak/>
        <w:t xml:space="preserve">Le système de commande SPECTIVE contribue à un accès sans problème, car son utilisation est simple et intuitive. La représentation visuelle et le guidage logique des utilisateurs ne laissent guère de place à l'erreur. Grâce à la simplicité d'utilisation, plusieurs employés ont pu être formés simultanément sur SPECTIVE. Ainsi, le travail sur l'installation était très flexible, dès le début. </w:t>
      </w:r>
    </w:p>
    <w:p w14:paraId="639D0707" w14:textId="6D37A28E" w:rsidR="0072059E" w:rsidRPr="0072059E" w:rsidRDefault="0072059E" w:rsidP="00717074">
      <w:pPr>
        <w:pStyle w:val="Absatzberschrift"/>
      </w:pPr>
      <w:r>
        <w:t>Simplicité d'entretien et de maintenance</w:t>
      </w:r>
    </w:p>
    <w:p w14:paraId="7522F20C" w14:textId="037FD104" w:rsidR="00936642" w:rsidRDefault="0072059E" w:rsidP="00CF5C63">
      <w:pPr>
        <w:pStyle w:val="Absatzberschrift"/>
        <w:jc w:val="both"/>
        <w:rPr>
          <w:b w:val="0"/>
        </w:rPr>
      </w:pPr>
      <w:r>
        <w:rPr>
          <w:b w:val="0"/>
        </w:rPr>
        <w:t xml:space="preserve">Un avantage pour la maintenance est que les composants des installations de broyage et de criblage sont très accessibles. Tous les emplacements sont accessibles sans problème et sans grands travaux de démontage. Ceci facilite la maintenance régulière du train d'installations. La simplicité de remplacement des grilles de crible sur l'installation de criblage MOBISCREEN MS 953 EVO contribue au fonctionnement sans problème. "Nous apprécions particulièrement la volonté de trouver des solutions pratiques. Nous connaissons déjà cette bonne coopération pour les appareils et produits des autres marques du Wirtgen Group", dit Kyle Parsons, chef de projet responsable chez Jusamco Ltd. À cela s'ajoute la certitude que nous pouvons toujours compter sur une assistance technique et un approvisionnement en pièces de la part des interlocuteurs sur place. </w:t>
      </w:r>
    </w:p>
    <w:p w14:paraId="07DF7ACE" w14:textId="2376D554" w:rsidR="00936642" w:rsidRDefault="00936642" w:rsidP="00CF5C63">
      <w:pPr>
        <w:pStyle w:val="Standardabsatz"/>
      </w:pPr>
    </w:p>
    <w:p w14:paraId="20E2BC9A" w14:textId="77777777" w:rsidR="00936642" w:rsidRPr="00936642" w:rsidRDefault="00936642" w:rsidP="00936642">
      <w:pPr>
        <w:pStyle w:val="Standardabsatz"/>
      </w:pPr>
    </w:p>
    <w:p w14:paraId="585940EA" w14:textId="77777777" w:rsidR="00936642" w:rsidRDefault="0072059E" w:rsidP="00936642">
      <w:pPr>
        <w:pStyle w:val="Standardabsatz"/>
        <w:jc w:val="left"/>
      </w:pPr>
      <w:r>
        <w:rPr>
          <w:b/>
        </w:rPr>
        <w:t>Information</w:t>
      </w:r>
      <w:r>
        <w:t xml:space="preserve"> :</w:t>
      </w:r>
    </w:p>
    <w:p w14:paraId="1E71EB85" w14:textId="490B5672" w:rsidR="007B0E60" w:rsidRDefault="0072059E" w:rsidP="00BD5607">
      <w:pPr>
        <w:pStyle w:val="Standardabsatz"/>
        <w:jc w:val="left"/>
      </w:pPr>
      <w:r>
        <w:t>Matériau d'alimentation : calcaire dynamité</w:t>
      </w:r>
      <w:r>
        <w:br/>
        <w:t>Taille d'alimentation : 0 – 400 mm</w:t>
      </w:r>
      <w:r>
        <w:br/>
        <w:t>Produit final : 0 – 7 mm | 7 – 16 mm | 16 – 19 mm</w:t>
      </w:r>
      <w:r>
        <w:br/>
        <w:t>Utilisation : granulats pour fabrication d'asphalte</w:t>
      </w:r>
      <w:r>
        <w:br/>
      </w:r>
    </w:p>
    <w:p w14:paraId="530035F2" w14:textId="77777777" w:rsidR="00BD5607" w:rsidRDefault="00BD5607" w:rsidP="00BD5607">
      <w:pPr>
        <w:pStyle w:val="Standardabsatz"/>
        <w:jc w:val="left"/>
      </w:pPr>
    </w:p>
    <w:p w14:paraId="64ABBB85" w14:textId="024AAF51" w:rsidR="007C2FEE" w:rsidRPr="00AF2A24" w:rsidRDefault="007C2FEE" w:rsidP="00BC487A">
      <w:pPr>
        <w:rPr>
          <w:b/>
          <w:bCs/>
          <w:sz w:val="22"/>
          <w:szCs w:val="22"/>
        </w:rPr>
      </w:pPr>
      <w:r>
        <w:rPr>
          <w:b/>
          <w:sz w:val="22"/>
        </w:rPr>
        <w:t>Photos :</w:t>
      </w:r>
    </w:p>
    <w:p w14:paraId="06345839" w14:textId="77777777" w:rsidR="00BC487A" w:rsidRPr="00AF2A24" w:rsidRDefault="00BC487A" w:rsidP="00BC487A">
      <w:pPr>
        <w:rPr>
          <w:rFonts w:eastAsiaTheme="minorHAnsi" w:cstheme="minorBidi"/>
          <w:b/>
          <w:sz w:val="22"/>
          <w:szCs w:val="24"/>
        </w:rPr>
      </w:pPr>
    </w:p>
    <w:p w14:paraId="015EC9AD" w14:textId="57043218" w:rsidR="00F724D5" w:rsidRPr="00FF5F5E" w:rsidRDefault="007B0E60" w:rsidP="00F724D5">
      <w:pPr>
        <w:pStyle w:val="BUbold"/>
      </w:pPr>
      <w:r>
        <w:rPr>
          <w:noProof/>
        </w:rPr>
        <w:drawing>
          <wp:inline distT="0" distB="0" distL="0" distR="0" wp14:anchorId="2BA50FED" wp14:editId="5702A3AD">
            <wp:extent cx="3060700" cy="1677035"/>
            <wp:effectExtent l="0" t="0" r="635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060700" cy="1677035"/>
                    </a:xfrm>
                    <a:prstGeom prst="rect">
                      <a:avLst/>
                    </a:prstGeom>
                  </pic:spPr>
                </pic:pic>
              </a:graphicData>
            </a:graphic>
          </wp:inline>
        </w:drawing>
      </w:r>
    </w:p>
    <w:p w14:paraId="355F2896" w14:textId="615D045A" w:rsidR="007B0E60" w:rsidRPr="00560C7A" w:rsidRDefault="007B0E60" w:rsidP="007B0E60">
      <w:pPr>
        <w:pStyle w:val="BUbold"/>
      </w:pPr>
      <w:r>
        <w:t xml:space="preserve">KL_Jusamco_Trinité </w:t>
      </w:r>
    </w:p>
    <w:p w14:paraId="10AF8B22" w14:textId="0AB8C5A9" w:rsidR="000D357E" w:rsidRPr="00F724D5" w:rsidRDefault="0072059E" w:rsidP="00FF5F5E">
      <w:pPr>
        <w:pStyle w:val="BUnormal"/>
      </w:pPr>
      <w:r>
        <w:rPr>
          <w:color w:val="auto"/>
        </w:rPr>
        <w:t xml:space="preserve">Le train d'installations de Jusamco à Trinité : le concasseur à </w:t>
      </w:r>
      <w:proofErr w:type="gramStart"/>
      <w:r>
        <w:rPr>
          <w:color w:val="auto"/>
        </w:rPr>
        <w:t>mâchoires  MOBICAT</w:t>
      </w:r>
      <w:proofErr w:type="gramEnd"/>
      <w:r>
        <w:rPr>
          <w:color w:val="auto"/>
        </w:rPr>
        <w:t xml:space="preserve"> MC 120 Z PRO et le broyeur à cône  MOBICONE MCO 11 PRO en sont le cœur. L'installation de criblage MOBISCREEN MS 953 EVO complète le processus</w:t>
      </w:r>
    </w:p>
    <w:p w14:paraId="6D829B46" w14:textId="0F997D08" w:rsidR="00F724D5" w:rsidRPr="007B0E60" w:rsidRDefault="00955892" w:rsidP="00F724D5">
      <w:pPr>
        <w:pStyle w:val="BUbold"/>
      </w:pPr>
      <w:r>
        <w:rPr>
          <w:noProof/>
        </w:rPr>
        <w:lastRenderedPageBreak/>
        <w:drawing>
          <wp:inline distT="0" distB="0" distL="0" distR="0" wp14:anchorId="0E5E4AD1" wp14:editId="4681F516">
            <wp:extent cx="3674706" cy="2066925"/>
            <wp:effectExtent l="0" t="0" r="2540" b="0"/>
            <wp:docPr id="13" name="Grafik 13" descr="Ein Bild, das draußen, Boden, Baum, Schmutz enthält.  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descr="Ein Bild, das draußen, Boden, Baum, Schmutz enthält.  Automatisch generierte Beschreibung"/>
                    <pic:cNvPicPr/>
                  </pic:nvPicPr>
                  <pic:blipFill>
                    <a:blip r:embed="rId9" cstate="screen">
                      <a:extLst>
                        <a:ext uri="{28A0092B-C50C-407E-A947-70E740481C1C}">
                          <a14:useLocalDpi xmlns:a14="http://schemas.microsoft.com/office/drawing/2010/main"/>
                        </a:ext>
                      </a:extLst>
                    </a:blip>
                    <a:stretch>
                      <a:fillRect/>
                    </a:stretch>
                  </pic:blipFill>
                  <pic:spPr>
                    <a:xfrm>
                      <a:off x="0" y="0"/>
                      <a:ext cx="3681894" cy="2070968"/>
                    </a:xfrm>
                    <a:prstGeom prst="rect">
                      <a:avLst/>
                    </a:prstGeom>
                  </pic:spPr>
                </pic:pic>
              </a:graphicData>
            </a:graphic>
          </wp:inline>
        </w:drawing>
      </w:r>
    </w:p>
    <w:p w14:paraId="44E1957F" w14:textId="05387357" w:rsidR="00955892" w:rsidRPr="00955892" w:rsidRDefault="00955892" w:rsidP="00955892">
      <w:pPr>
        <w:pStyle w:val="BUbold"/>
        <w:rPr>
          <w:b w:val="0"/>
          <w:bCs/>
        </w:rPr>
      </w:pPr>
      <w:r>
        <w:t>KL_Jusamco_Trinité_1</w:t>
      </w:r>
      <w:r>
        <w:br/>
      </w:r>
      <w:r>
        <w:rPr>
          <w:b w:val="0"/>
        </w:rPr>
        <w:t>Le train d'installations interconnecté Kleemann PRO convainc pour le calcaire.</w:t>
      </w:r>
    </w:p>
    <w:p w14:paraId="67E83AFA" w14:textId="78DCACE4" w:rsidR="00980313" w:rsidRDefault="00714D6B" w:rsidP="00A96B2E">
      <w:pPr>
        <w:pStyle w:val="Note"/>
        <w:rPr>
          <w:lang w:eastAsia="de-DE"/>
        </w:rPr>
      </w:pPr>
      <w:r>
        <w:t>Remarque : ces photos ne sont que des aperçus. Pour une intégration dans des publications, veuillez utiliser les photos en résolution 300 dpi qui sont à votre disposition en téléchargement.</w:t>
      </w:r>
    </w:p>
    <w:p w14:paraId="783336FE" w14:textId="77777777" w:rsidR="00F724D5" w:rsidRPr="00F724D5" w:rsidRDefault="00F724D5" w:rsidP="00F724D5">
      <w:pPr>
        <w:pStyle w:val="Standardabsatz"/>
        <w:rPr>
          <w:lang w:eastAsia="de-DE"/>
        </w:rPr>
      </w:pPr>
    </w:p>
    <w:p w14:paraId="717825D0" w14:textId="4B1B0DAB" w:rsidR="00B409DF" w:rsidRDefault="00B409DF" w:rsidP="00B409DF">
      <w:pPr>
        <w:pStyle w:val="Absatzberschrift"/>
        <w:rPr>
          <w:iCs/>
        </w:rPr>
      </w:pPr>
      <w:r>
        <w:t>Pour plus d'informations, contacter :</w:t>
      </w:r>
    </w:p>
    <w:p w14:paraId="294F8CA8" w14:textId="77777777" w:rsidR="00B409DF" w:rsidRDefault="00B409DF" w:rsidP="00B409DF">
      <w:pPr>
        <w:pStyle w:val="Absatzberschrift"/>
      </w:pPr>
    </w:p>
    <w:p w14:paraId="6BD3D8AD" w14:textId="77777777" w:rsidR="00B409DF" w:rsidRPr="002B783A" w:rsidRDefault="00B409DF" w:rsidP="00B409DF">
      <w:pPr>
        <w:pStyle w:val="Absatzberschrift"/>
        <w:rPr>
          <w:b w:val="0"/>
          <w:bCs/>
          <w:szCs w:val="22"/>
        </w:rPr>
      </w:pPr>
      <w:r>
        <w:rPr>
          <w:b w:val="0"/>
        </w:rPr>
        <w:t>WIRTGEN GROUP</w:t>
      </w:r>
    </w:p>
    <w:p w14:paraId="392C6846" w14:textId="77777777" w:rsidR="00B409DF" w:rsidRDefault="00B409DF" w:rsidP="00B409DF">
      <w:pPr>
        <w:pStyle w:val="Fuzeile1"/>
      </w:pPr>
      <w:r>
        <w:t>Public Relations</w:t>
      </w:r>
    </w:p>
    <w:p w14:paraId="77A90FFB" w14:textId="77777777" w:rsidR="00B409DF" w:rsidRDefault="00B409DF" w:rsidP="00B409DF">
      <w:pPr>
        <w:pStyle w:val="Fuzeile1"/>
      </w:pPr>
      <w:r>
        <w:t>Reinhard-Wirtgen-Straße 2</w:t>
      </w:r>
    </w:p>
    <w:p w14:paraId="2BD7061F" w14:textId="77777777" w:rsidR="00B409DF" w:rsidRDefault="00B409DF" w:rsidP="00B409DF">
      <w:pPr>
        <w:pStyle w:val="Fuzeile1"/>
      </w:pPr>
      <w:r>
        <w:t>53578 Windhagen</w:t>
      </w:r>
    </w:p>
    <w:p w14:paraId="7312A980" w14:textId="77777777" w:rsidR="00B409DF" w:rsidRDefault="00B409DF" w:rsidP="00B409DF">
      <w:pPr>
        <w:pStyle w:val="Fuzeile1"/>
      </w:pPr>
      <w:r>
        <w:t>Allemagne</w:t>
      </w:r>
    </w:p>
    <w:p w14:paraId="2DFD9654" w14:textId="77777777" w:rsidR="00B409DF" w:rsidRDefault="00B409DF" w:rsidP="00B409DF">
      <w:pPr>
        <w:pStyle w:val="Fuzeile1"/>
      </w:pPr>
    </w:p>
    <w:p w14:paraId="747CCDAF" w14:textId="77777777" w:rsidR="00B409DF" w:rsidRPr="007B0E60" w:rsidRDefault="00B409DF" w:rsidP="00B409DF">
      <w:pPr>
        <w:pStyle w:val="Fuzeile1"/>
        <w:rPr>
          <w:rFonts w:ascii="Times New Roman" w:hAnsi="Times New Roman" w:cs="Times New Roman"/>
        </w:rPr>
      </w:pPr>
      <w:r>
        <w:t xml:space="preserve">Téléphone : +49 (0) 2645 131 – 1966 </w:t>
      </w:r>
    </w:p>
    <w:p w14:paraId="72EBA31D" w14:textId="77777777" w:rsidR="00B409DF" w:rsidRDefault="00B409DF" w:rsidP="00B409DF">
      <w:pPr>
        <w:pStyle w:val="Fuzeile1"/>
      </w:pPr>
      <w:r>
        <w:t>Fax : +49 (0) 2645 131 – 499</w:t>
      </w:r>
    </w:p>
    <w:p w14:paraId="54DD8925" w14:textId="4CADBFA8" w:rsidR="00B409DF" w:rsidRDefault="00B409DF" w:rsidP="00B409DF">
      <w:pPr>
        <w:pStyle w:val="Fuzeile1"/>
      </w:pPr>
      <w:proofErr w:type="gramStart"/>
      <w:r>
        <w:t>E-mail</w:t>
      </w:r>
      <w:proofErr w:type="gramEnd"/>
      <w:r>
        <w:t> : PR@wirtgen-group.com</w:t>
      </w:r>
      <w:r>
        <w:rPr>
          <w:vanish/>
        </w:rPr>
        <w:t>PR@wirtgen-group.com</w:t>
      </w:r>
    </w:p>
    <w:p w14:paraId="51E322C9" w14:textId="77777777" w:rsidR="00B409DF" w:rsidRPr="00F91A52" w:rsidRDefault="00B409DF" w:rsidP="00B409DF">
      <w:pPr>
        <w:pStyle w:val="Fuzeile1"/>
        <w:rPr>
          <w:vanish/>
        </w:rPr>
      </w:pPr>
    </w:p>
    <w:p w14:paraId="11BA6AC4" w14:textId="77777777" w:rsidR="00B409DF" w:rsidRPr="00114A31" w:rsidRDefault="00B409DF" w:rsidP="00B409DF">
      <w:pPr>
        <w:pStyle w:val="Fuzeile1"/>
      </w:pPr>
      <w:r>
        <w:t>www.wirtgen-group.com</w:t>
      </w:r>
    </w:p>
    <w:p w14:paraId="3D604A55" w14:textId="179BBC00" w:rsidR="00F048D4" w:rsidRPr="00F74540" w:rsidRDefault="00F048D4" w:rsidP="00F74540">
      <w:pPr>
        <w:pStyle w:val="Fuzeile1"/>
      </w:pPr>
    </w:p>
    <w:sectPr w:rsidR="00F048D4" w:rsidRPr="00F74540" w:rsidSect="00CA4A09">
      <w:headerReference w:type="even" r:id="rId10"/>
      <w:headerReference w:type="default" r:id="rId11"/>
      <w:footerReference w:type="default" r:id="rId12"/>
      <w:headerReference w:type="first" r:id="rId13"/>
      <w:footerReference w:type="first" r:id="rId14"/>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5C43CF" w14:textId="77777777" w:rsidR="004E61FD" w:rsidRDefault="004E61FD" w:rsidP="00E55534">
      <w:r>
        <w:separator/>
      </w:r>
    </w:p>
  </w:endnote>
  <w:endnote w:type="continuationSeparator" w:id="0">
    <w:p w14:paraId="0BDA39F8" w14:textId="77777777" w:rsidR="004E61FD" w:rsidRDefault="004E61FD"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venir Next LT Pro">
    <w:altName w:val="Avenir Next LT Pro"/>
    <w:charset w:val="00"/>
    <w:family w:val="swiss"/>
    <w:pitch w:val="variable"/>
    <w:sig w:usb0="800000EF" w:usb1="5000204A" w:usb2="00000000" w:usb3="00000000" w:csb0="00000093" w:csb1="00000000"/>
  </w:font>
  <w:font w:name="Avenir Next">
    <w:altName w:val="Calibri"/>
    <w:charset w:val="00"/>
    <w:family w:val="swiss"/>
    <w:pitch w:val="variable"/>
    <w:sig w:usb0="8000002F" w:usb1="5000204A" w:usb2="00000000" w:usb3="00000000" w:csb0="0000009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D37CF4">
            <w:rPr>
              <w:noProof/>
              <w:szCs w:val="20"/>
            </w:rPr>
            <w:t>02</w:t>
          </w:r>
          <w:r w:rsidRPr="00723F4F">
            <w:rPr>
              <w:szCs w:val="20"/>
            </w:rPr>
            <w:fldChar w:fldCharType="end"/>
          </w:r>
        </w:p>
      </w:tc>
    </w:tr>
  </w:tbl>
  <w:p w14:paraId="7CF7D2C8" w14:textId="77777777" w:rsidR="00533132" w:rsidRDefault="00BD5391">
    <w:pPr>
      <w:pStyle w:val="Fuzeile"/>
    </w:pPr>
    <w:r>
      <w:rPr>
        <w:noProof/>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72EA12"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rPr>
            <w:t>WIRTGEN GmbH</w:t>
          </w:r>
          <w:r>
            <w:t xml:space="preserve"> · Reinhard-Wirtgen-Str. 2 · D-53578 Windhagen · T : +49 26 45 / 131 0</w:t>
          </w:r>
        </w:p>
      </w:tc>
    </w:tr>
  </w:tbl>
  <w:p w14:paraId="732BEB33" w14:textId="77777777" w:rsidR="00533132" w:rsidRDefault="00BD5391">
    <w:pPr>
      <w:pStyle w:val="Fuzeile"/>
    </w:pPr>
    <w:r>
      <w:rPr>
        <w:noProof/>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212861"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190ADC" w14:textId="77777777" w:rsidR="004E61FD" w:rsidRDefault="004E61FD" w:rsidP="00E55534">
      <w:r>
        <w:separator/>
      </w:r>
    </w:p>
  </w:footnote>
  <w:footnote w:type="continuationSeparator" w:id="0">
    <w:p w14:paraId="1A809EC3" w14:textId="77777777" w:rsidR="004E61FD" w:rsidRDefault="004E61FD"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247EEB" w14:textId="0E8A747D" w:rsidR="00AF2A24" w:rsidRDefault="00AF2A24">
    <w:pPr>
      <w:pStyle w:val="Kopfzeile"/>
    </w:pPr>
    <w:r>
      <w:rPr>
        <w:noProof/>
      </w:rPr>
      <mc:AlternateContent>
        <mc:Choice Requires="wps">
          <w:drawing>
            <wp:anchor distT="0" distB="0" distL="0" distR="0" simplePos="0" relativeHeight="251664384" behindDoc="0" locked="0" layoutInCell="1" allowOverlap="1" wp14:anchorId="70A3A803" wp14:editId="01CC5EE1">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B49CB37" w14:textId="4905CD14"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0A3A803" id="_x0000_t202" coordsize="21600,21600" o:spt="202" path="m,l,21600r21600,l21600,xe">
              <v:stroke joinstyle="miter"/>
              <v:path gradientshapeok="t" o:connecttype="rect"/>
            </v:shapetype>
            <v:shape id="Textfeld 8" o:spid="_x0000_s1026" type="#_x0000_t202" alt="Public" style="position:absolute;margin-left:-16.25pt;margin-top:.05pt;width:34.95pt;height:34.95pt;z-index:251664384;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Bejfi4nAgAASQQAAA4AAAAAAAAAAAAAAAAALgIAAGRycy9lMm9Eb2MueG1s&#10;UEsBAi0AFAAGAAgAAAAhABMN77DYAAAAAwEAAA8AAAAAAAAAAAAAAAAAgQQAAGRycy9kb3ducmV2&#10;LnhtbFBLBQYAAAAABAAEAPMAAACGBQAAAAA=&#10;" filled="f" stroked="f">
              <v:textbox style="mso-fit-shape-to-text:t" inset="0,0,15pt,0">
                <w:txbxContent>
                  <w:p w14:paraId="2B49CB37" w14:textId="4905CD14"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E339FAF" w:rsidR="00533132" w:rsidRPr="00533132" w:rsidRDefault="00AF2A24" w:rsidP="00533132">
    <w:pPr>
      <w:pStyle w:val="Kopfzeile"/>
    </w:pPr>
    <w:r>
      <w:rPr>
        <w:noProof/>
      </w:rPr>
      <mc:AlternateContent>
        <mc:Choice Requires="wps">
          <w:drawing>
            <wp:anchor distT="0" distB="0" distL="0" distR="0" simplePos="0" relativeHeight="251665408" behindDoc="0" locked="0" layoutInCell="1" allowOverlap="1" wp14:anchorId="2D81EA92" wp14:editId="2B5BE262">
              <wp:simplePos x="752475" y="447675"/>
              <wp:positionH relativeFrom="rightMargin">
                <wp:align>right</wp:align>
              </wp:positionH>
              <wp:positionV relativeFrom="paragraph">
                <wp:posOffset>635</wp:posOffset>
              </wp:positionV>
              <wp:extent cx="443865" cy="443865"/>
              <wp:effectExtent l="0" t="0" r="0" b="16510"/>
              <wp:wrapSquare wrapText="bothSides"/>
              <wp:docPr id="11" name="Textfeld 11"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1C7825D" w14:textId="6DE10F3C"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2D81EA92" id="_x0000_t202" coordsize="21600,21600" o:spt="202" path="m,l,21600r21600,l21600,xe">
              <v:stroke joinstyle="miter"/>
              <v:path gradientshapeok="t" o:connecttype="rect"/>
            </v:shapetype>
            <v:shape id="Textfeld 11" o:spid="_x0000_s1027" type="#_x0000_t202" alt="Public" style="position:absolute;margin-left:-16.25pt;margin-top:.05pt;width:34.95pt;height:34.95pt;z-index:251665408;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OUIGBgnAgAAUgQAAA4AAAAAAAAAAAAAAAAALgIAAGRycy9lMm9Eb2MueG1s&#10;UEsBAi0AFAAGAAgAAAAhABMN77DYAAAAAwEAAA8AAAAAAAAAAAAAAAAAgQQAAGRycy9kb3ducmV2&#10;LnhtbFBLBQYAAAAABAAEAPMAAACGBQAAAAA=&#10;" filled="f" stroked="f">
              <v:textbox style="mso-fit-shape-to-text:t" inset="0,0,15pt,0">
                <w:txbxContent>
                  <w:p w14:paraId="51C7825D" w14:textId="6DE10F3C"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v:textbox>
              <w10:wrap type="square" anchorx="margin"/>
            </v:shape>
          </w:pict>
        </mc:Fallback>
      </mc:AlternateContent>
    </w:r>
    <w:r>
      <w:rPr>
        <w:noProof/>
      </w:rPr>
      <mc:AlternateContent>
        <mc:Choice Requires="wps">
          <w:drawing>
            <wp:anchor distT="0" distB="0" distL="114300" distR="114300" simplePos="0" relativeHeight="251662336" behindDoc="0" locked="0" layoutInCell="1" allowOverlap="1" wp14:anchorId="05CC8C65" wp14:editId="2B82A5B3">
              <wp:simplePos x="0" y="0"/>
              <wp:positionH relativeFrom="column">
                <wp:posOffset>2664248</wp:posOffset>
              </wp:positionH>
              <wp:positionV relativeFrom="paragraph">
                <wp:posOffset>409152</wp:posOffset>
              </wp:positionV>
              <wp:extent cx="3441700" cy="715010"/>
              <wp:effectExtent l="0" t="0" r="0" b="6350"/>
              <wp:wrapNone/>
              <wp:docPr id="10" name="Textfeld 10"/>
              <wp:cNvGraphicFramePr/>
              <a:graphic xmlns:a="http://schemas.openxmlformats.org/drawingml/2006/main">
                <a:graphicData uri="http://schemas.microsoft.com/office/word/2010/wordprocessingShape">
                  <wps:wsp>
                    <wps:cNvSpPr txBox="1"/>
                    <wps:spPr>
                      <a:xfrm>
                        <a:off x="0" y="0"/>
                        <a:ext cx="3441700" cy="715010"/>
                      </a:xfrm>
                      <a:prstGeom prst="rect">
                        <a:avLst/>
                      </a:prstGeom>
                      <a:solidFill>
                        <a:schemeClr val="bg1"/>
                      </a:solidFill>
                      <a:ln w="6350">
                        <a:noFill/>
                      </a:ln>
                    </wps:spPr>
                    <wps:txbx>
                      <w:txbxContent>
                        <w:p w14:paraId="3086A0E8" w14:textId="100070CA" w:rsidR="004B3E60" w:rsidRPr="00C10992" w:rsidRDefault="004B3E60" w:rsidP="004B3E60">
                          <w:pPr>
                            <w:pStyle w:val="Titel"/>
                            <w:rPr>
                              <w:rFonts w:ascii="Avenir Next" w:hAnsi="Avenir Next"/>
                              <w:bCs/>
                              <w:color w:val="40535C"/>
                              <w:sz w:val="36"/>
                              <w:szCs w:val="36"/>
                            </w:rPr>
                          </w:pPr>
                          <w:r>
                            <w:rPr>
                              <w:rFonts w:ascii="Avenir Next LT Pro" w:hAnsi="Avenir Next LT Pro"/>
                              <w:sz w:val="36"/>
                            </w:rPr>
                            <w:t xml:space="preserve">                 </w:t>
                          </w:r>
                          <w:r>
                            <w:rPr>
                              <w:rFonts w:ascii="Avenir Next" w:hAnsi="Avenir Next"/>
                              <w:color w:val="40535C"/>
                              <w:sz w:val="36"/>
                            </w:rPr>
                            <w:t>RAPPORT D'APPLICATION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5CC8C65" id="Textfeld 10" o:spid="_x0000_s1028" type="#_x0000_t202" style="position:absolute;margin-left:209.8pt;margin-top:32.2pt;width:271pt;height:56.3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" fillcolor="white [3212]" stroked="f" strokeweight=".5pt">
              <v:textbox style="mso-fit-shape-to-text:t" inset="0,0,0,0">
                <w:txbxContent>
                  <w:p w14:paraId="3086A0E8" w14:textId="100070CA" w:rsidR="004B3E60" w:rsidRPr="00C10992" w:rsidRDefault="004B3E60" w:rsidP="004B3E60">
                    <w:pPr>
                      <w:pStyle w:val="Titel"/>
                      <w:rPr>
                        <w:rFonts w:ascii="Avenir Next" w:hAnsi="Avenir Next"/>
                        <w:bCs/>
                        <w:color w:val="40535C"/>
                        <w:sz w:val="36"/>
                        <w:szCs w:val="36"/>
                      </w:rPr>
                    </w:pPr>
                    <w:r>
                      <w:rPr>
                        <w:rFonts w:ascii="Avenir Next LT Pro" w:hAnsi="Avenir Next LT Pro"/>
                        <w:sz w:val="36"/>
                      </w:rPr>
                      <w:t xml:space="preserve">                 </w:t>
                    </w:r>
                    <w:r>
                      <w:rPr>
                        <w:rFonts w:ascii="Avenir Next" w:hAnsi="Avenir Next"/>
                        <w:color w:val="40535C"/>
                        <w:sz w:val="36"/>
                      </w:rPr>
                      <w:t>RAPPORT D'APPLICATION</w:t>
                    </w:r>
                  </w:p>
                </w:txbxContent>
              </v:textbox>
            </v:shape>
          </w:pict>
        </mc:Fallback>
      </mc:AlternateContent>
    </w:r>
    <w:r>
      <w:rPr>
        <w:noProof/>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56148399" w:rsidR="00533132" w:rsidRDefault="00AF2A24">
    <w:pPr>
      <w:pStyle w:val="Kopfzeile"/>
    </w:pPr>
    <w:r>
      <w:rPr>
        <w:noProof/>
      </w:rPr>
      <mc:AlternateContent>
        <mc:Choice Requires="wps">
          <w:drawing>
            <wp:anchor distT="0" distB="0" distL="0" distR="0" simplePos="0" relativeHeight="251663360" behindDoc="0" locked="0" layoutInCell="1" allowOverlap="1" wp14:anchorId="6C096F34" wp14:editId="52E3361B">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9F060E0" w14:textId="65C11F4E"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6C096F34" id="_x0000_t202" coordsize="21600,21600" o:spt="202" path="m,l,21600r21600,l21600,xe">
              <v:stroke joinstyle="miter"/>
              <v:path gradientshapeok="t" o:connecttype="rect"/>
            </v:shapetype>
            <v:shape id="Textfeld 7" o:spid="_x0000_s1029"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" filled="f" stroked="f">
              <v:textbox style="mso-fit-shape-to-text:t" inset="0,0,15pt,0">
                <w:txbxContent>
                  <w:p w14:paraId="09F060E0" w14:textId="65C11F4E"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v:textbox>
              <w10:wrap type="square" anchorx="margin"/>
            </v:shape>
          </w:pict>
        </mc:Fallback>
      </mc:AlternateContent>
    </w:r>
    <w:r>
      <w:rPr>
        <w:noProof/>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91AE29"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0pt;height:1500pt" o:bullet="t">
        <v:imagedata r:id="rId1" o:title="AZ_04a"/>
      </v:shape>
    </w:pict>
  </w:numPicBullet>
  <w:numPicBullet w:numPicBulletId="1">
    <w:pict>
      <v:shape id="_x0000_i1027" type="#_x0000_t75" style="width:7.35pt;height:7.3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3437ECE"/>
    <w:multiLevelType w:val="hybridMultilevel"/>
    <w:tmpl w:val="ED9C3B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4275167"/>
    <w:multiLevelType w:val="hybridMultilevel"/>
    <w:tmpl w:val="5DC4AE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0"/>
  </w:num>
  <w:num w:numId="2">
    <w:abstractNumId w:val="10"/>
  </w:num>
  <w:num w:numId="3">
    <w:abstractNumId w:val="10"/>
  </w:num>
  <w:num w:numId="4">
    <w:abstractNumId w:val="10"/>
  </w:num>
  <w:num w:numId="5">
    <w:abstractNumId w:val="10"/>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6"/>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74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4F75"/>
    <w:rsid w:val="0000551D"/>
    <w:rsid w:val="00005EF2"/>
    <w:rsid w:val="0000745C"/>
    <w:rsid w:val="000148B3"/>
    <w:rsid w:val="00017575"/>
    <w:rsid w:val="00024BFC"/>
    <w:rsid w:val="000401F1"/>
    <w:rsid w:val="00042106"/>
    <w:rsid w:val="0005285B"/>
    <w:rsid w:val="00055529"/>
    <w:rsid w:val="00056224"/>
    <w:rsid w:val="00062C3A"/>
    <w:rsid w:val="00066D09"/>
    <w:rsid w:val="0009665C"/>
    <w:rsid w:val="000A0479"/>
    <w:rsid w:val="000A36D9"/>
    <w:rsid w:val="000A4C7D"/>
    <w:rsid w:val="000B582B"/>
    <w:rsid w:val="000C7C82"/>
    <w:rsid w:val="000D15C3"/>
    <w:rsid w:val="000D357E"/>
    <w:rsid w:val="000E24F8"/>
    <w:rsid w:val="000E5738"/>
    <w:rsid w:val="000F3749"/>
    <w:rsid w:val="00103205"/>
    <w:rsid w:val="0011795C"/>
    <w:rsid w:val="0012026F"/>
    <w:rsid w:val="001207D3"/>
    <w:rsid w:val="00130601"/>
    <w:rsid w:val="00132055"/>
    <w:rsid w:val="00143885"/>
    <w:rsid w:val="00146C3D"/>
    <w:rsid w:val="00153B47"/>
    <w:rsid w:val="001613A6"/>
    <w:rsid w:val="001614F0"/>
    <w:rsid w:val="001616F4"/>
    <w:rsid w:val="0018021A"/>
    <w:rsid w:val="00182D69"/>
    <w:rsid w:val="00193CE0"/>
    <w:rsid w:val="00194FB1"/>
    <w:rsid w:val="001B16BB"/>
    <w:rsid w:val="001B34EE"/>
    <w:rsid w:val="001C1A3E"/>
    <w:rsid w:val="001C7AE5"/>
    <w:rsid w:val="001F359E"/>
    <w:rsid w:val="00200355"/>
    <w:rsid w:val="0021351D"/>
    <w:rsid w:val="00253A2E"/>
    <w:rsid w:val="002603EC"/>
    <w:rsid w:val="00282AFC"/>
    <w:rsid w:val="00286C15"/>
    <w:rsid w:val="0029634D"/>
    <w:rsid w:val="002B75C5"/>
    <w:rsid w:val="002C6F4F"/>
    <w:rsid w:val="002C7542"/>
    <w:rsid w:val="002D065C"/>
    <w:rsid w:val="002D0780"/>
    <w:rsid w:val="002D2EE5"/>
    <w:rsid w:val="002D63E6"/>
    <w:rsid w:val="002E619D"/>
    <w:rsid w:val="002E6AC6"/>
    <w:rsid w:val="002E765F"/>
    <w:rsid w:val="002E7E4E"/>
    <w:rsid w:val="002F108B"/>
    <w:rsid w:val="002F5818"/>
    <w:rsid w:val="002F70FD"/>
    <w:rsid w:val="002F7E0B"/>
    <w:rsid w:val="0030316D"/>
    <w:rsid w:val="0032774C"/>
    <w:rsid w:val="00332D28"/>
    <w:rsid w:val="00340E41"/>
    <w:rsid w:val="0034191A"/>
    <w:rsid w:val="00343CC7"/>
    <w:rsid w:val="0036561D"/>
    <w:rsid w:val="003665BE"/>
    <w:rsid w:val="00384A08"/>
    <w:rsid w:val="003850A9"/>
    <w:rsid w:val="003967E5"/>
    <w:rsid w:val="003A753A"/>
    <w:rsid w:val="003B3803"/>
    <w:rsid w:val="003C2A71"/>
    <w:rsid w:val="003D69E3"/>
    <w:rsid w:val="003E05FC"/>
    <w:rsid w:val="003E1CB6"/>
    <w:rsid w:val="003E2E5A"/>
    <w:rsid w:val="003E3CF6"/>
    <w:rsid w:val="003E4161"/>
    <w:rsid w:val="003E6B82"/>
    <w:rsid w:val="003E759F"/>
    <w:rsid w:val="003E7853"/>
    <w:rsid w:val="003F3CA4"/>
    <w:rsid w:val="003F4E4E"/>
    <w:rsid w:val="003F57AB"/>
    <w:rsid w:val="00400FD9"/>
    <w:rsid w:val="004016F7"/>
    <w:rsid w:val="00403373"/>
    <w:rsid w:val="00406C81"/>
    <w:rsid w:val="00411941"/>
    <w:rsid w:val="00412545"/>
    <w:rsid w:val="00417237"/>
    <w:rsid w:val="00430BB0"/>
    <w:rsid w:val="00467F3C"/>
    <w:rsid w:val="0047498D"/>
    <w:rsid w:val="00476100"/>
    <w:rsid w:val="00487BFC"/>
    <w:rsid w:val="004A1833"/>
    <w:rsid w:val="004B3E60"/>
    <w:rsid w:val="004C1967"/>
    <w:rsid w:val="004D23D0"/>
    <w:rsid w:val="004D2BE0"/>
    <w:rsid w:val="004E0A77"/>
    <w:rsid w:val="004E61FD"/>
    <w:rsid w:val="004E6EF5"/>
    <w:rsid w:val="004E74CA"/>
    <w:rsid w:val="00506409"/>
    <w:rsid w:val="005144B2"/>
    <w:rsid w:val="00530E32"/>
    <w:rsid w:val="00533132"/>
    <w:rsid w:val="00534889"/>
    <w:rsid w:val="00537210"/>
    <w:rsid w:val="00541C9E"/>
    <w:rsid w:val="00560C7A"/>
    <w:rsid w:val="005649F4"/>
    <w:rsid w:val="005710C8"/>
    <w:rsid w:val="005711A3"/>
    <w:rsid w:val="00571A5C"/>
    <w:rsid w:val="00573B2B"/>
    <w:rsid w:val="005776E9"/>
    <w:rsid w:val="00587AD9"/>
    <w:rsid w:val="005909A8"/>
    <w:rsid w:val="005931CB"/>
    <w:rsid w:val="005A2B78"/>
    <w:rsid w:val="005A4F04"/>
    <w:rsid w:val="005B5793"/>
    <w:rsid w:val="005C6B30"/>
    <w:rsid w:val="005C71EC"/>
    <w:rsid w:val="005D7B09"/>
    <w:rsid w:val="005E6153"/>
    <w:rsid w:val="005E764C"/>
    <w:rsid w:val="005F16C3"/>
    <w:rsid w:val="006063D4"/>
    <w:rsid w:val="00612D6C"/>
    <w:rsid w:val="00623B37"/>
    <w:rsid w:val="006330A2"/>
    <w:rsid w:val="00633127"/>
    <w:rsid w:val="00642EB6"/>
    <w:rsid w:val="006433E2"/>
    <w:rsid w:val="00651E5D"/>
    <w:rsid w:val="00677F11"/>
    <w:rsid w:val="00682B1A"/>
    <w:rsid w:val="00690D7C"/>
    <w:rsid w:val="00690DFE"/>
    <w:rsid w:val="00691678"/>
    <w:rsid w:val="006B3EEC"/>
    <w:rsid w:val="006C0C87"/>
    <w:rsid w:val="006D7EAC"/>
    <w:rsid w:val="006E0104"/>
    <w:rsid w:val="006F7602"/>
    <w:rsid w:val="00700B3F"/>
    <w:rsid w:val="007100BC"/>
    <w:rsid w:val="00714D6B"/>
    <w:rsid w:val="00717074"/>
    <w:rsid w:val="0072059E"/>
    <w:rsid w:val="00722A17"/>
    <w:rsid w:val="00723F4F"/>
    <w:rsid w:val="00755AE0"/>
    <w:rsid w:val="0075761B"/>
    <w:rsid w:val="00757B83"/>
    <w:rsid w:val="00774358"/>
    <w:rsid w:val="00777990"/>
    <w:rsid w:val="00791A69"/>
    <w:rsid w:val="0079462A"/>
    <w:rsid w:val="00794830"/>
    <w:rsid w:val="00797CAA"/>
    <w:rsid w:val="007A2B6F"/>
    <w:rsid w:val="007A46B3"/>
    <w:rsid w:val="007A6BD2"/>
    <w:rsid w:val="007B00DF"/>
    <w:rsid w:val="007B0E60"/>
    <w:rsid w:val="007B7CE0"/>
    <w:rsid w:val="007C2658"/>
    <w:rsid w:val="007C2FEE"/>
    <w:rsid w:val="007C4A1C"/>
    <w:rsid w:val="007D0EFA"/>
    <w:rsid w:val="007D59A2"/>
    <w:rsid w:val="007E20D0"/>
    <w:rsid w:val="007E3DAB"/>
    <w:rsid w:val="008053B3"/>
    <w:rsid w:val="00820315"/>
    <w:rsid w:val="00823073"/>
    <w:rsid w:val="0082316D"/>
    <w:rsid w:val="00832921"/>
    <w:rsid w:val="008334EC"/>
    <w:rsid w:val="00834472"/>
    <w:rsid w:val="00836A5D"/>
    <w:rsid w:val="00840119"/>
    <w:rsid w:val="008427F2"/>
    <w:rsid w:val="00843B45"/>
    <w:rsid w:val="0084571C"/>
    <w:rsid w:val="00863129"/>
    <w:rsid w:val="00866830"/>
    <w:rsid w:val="00870ACE"/>
    <w:rsid w:val="00873125"/>
    <w:rsid w:val="008755E5"/>
    <w:rsid w:val="0088014D"/>
    <w:rsid w:val="00880ED3"/>
    <w:rsid w:val="00881E44"/>
    <w:rsid w:val="00892F6F"/>
    <w:rsid w:val="00896F7E"/>
    <w:rsid w:val="008A452D"/>
    <w:rsid w:val="008B1EB7"/>
    <w:rsid w:val="008C2A29"/>
    <w:rsid w:val="008C2DB2"/>
    <w:rsid w:val="008D26D8"/>
    <w:rsid w:val="008D770E"/>
    <w:rsid w:val="0090337E"/>
    <w:rsid w:val="009049D8"/>
    <w:rsid w:val="00910609"/>
    <w:rsid w:val="009125E2"/>
    <w:rsid w:val="00915841"/>
    <w:rsid w:val="00922098"/>
    <w:rsid w:val="009328FA"/>
    <w:rsid w:val="00936642"/>
    <w:rsid w:val="00936A78"/>
    <w:rsid w:val="009375E1"/>
    <w:rsid w:val="00952853"/>
    <w:rsid w:val="00955892"/>
    <w:rsid w:val="009646E4"/>
    <w:rsid w:val="00977EC3"/>
    <w:rsid w:val="00980313"/>
    <w:rsid w:val="0098631D"/>
    <w:rsid w:val="009877C8"/>
    <w:rsid w:val="009B17A9"/>
    <w:rsid w:val="009B211F"/>
    <w:rsid w:val="009B3F8C"/>
    <w:rsid w:val="009B7C05"/>
    <w:rsid w:val="009C2378"/>
    <w:rsid w:val="009C5A77"/>
    <w:rsid w:val="009C5D99"/>
    <w:rsid w:val="009C6020"/>
    <w:rsid w:val="009C73BF"/>
    <w:rsid w:val="009D016F"/>
    <w:rsid w:val="009E251D"/>
    <w:rsid w:val="009F0ABD"/>
    <w:rsid w:val="009F10A8"/>
    <w:rsid w:val="009F715C"/>
    <w:rsid w:val="00A01ABA"/>
    <w:rsid w:val="00A02F49"/>
    <w:rsid w:val="00A13C4A"/>
    <w:rsid w:val="00A171F4"/>
    <w:rsid w:val="00A1772D"/>
    <w:rsid w:val="00A177B2"/>
    <w:rsid w:val="00A22BD8"/>
    <w:rsid w:val="00A24EFC"/>
    <w:rsid w:val="00A27829"/>
    <w:rsid w:val="00A30886"/>
    <w:rsid w:val="00A31472"/>
    <w:rsid w:val="00A46F1E"/>
    <w:rsid w:val="00A82395"/>
    <w:rsid w:val="00A9389A"/>
    <w:rsid w:val="00A96B2E"/>
    <w:rsid w:val="00A977CE"/>
    <w:rsid w:val="00AB52F9"/>
    <w:rsid w:val="00AC3138"/>
    <w:rsid w:val="00AC6F42"/>
    <w:rsid w:val="00AD131F"/>
    <w:rsid w:val="00AD32D5"/>
    <w:rsid w:val="00AD70E4"/>
    <w:rsid w:val="00AF2A24"/>
    <w:rsid w:val="00AF3B3A"/>
    <w:rsid w:val="00AF4E8E"/>
    <w:rsid w:val="00AF6569"/>
    <w:rsid w:val="00B06265"/>
    <w:rsid w:val="00B115B5"/>
    <w:rsid w:val="00B409DF"/>
    <w:rsid w:val="00B5232A"/>
    <w:rsid w:val="00B60ED1"/>
    <w:rsid w:val="00B62CF5"/>
    <w:rsid w:val="00B63C90"/>
    <w:rsid w:val="00B65A46"/>
    <w:rsid w:val="00B70425"/>
    <w:rsid w:val="00B85705"/>
    <w:rsid w:val="00B874DC"/>
    <w:rsid w:val="00B90F78"/>
    <w:rsid w:val="00B91123"/>
    <w:rsid w:val="00B937EB"/>
    <w:rsid w:val="00B955DE"/>
    <w:rsid w:val="00BA7BC5"/>
    <w:rsid w:val="00BC0E38"/>
    <w:rsid w:val="00BC1961"/>
    <w:rsid w:val="00BC487A"/>
    <w:rsid w:val="00BD1058"/>
    <w:rsid w:val="00BD50F6"/>
    <w:rsid w:val="00BD5391"/>
    <w:rsid w:val="00BD5607"/>
    <w:rsid w:val="00BD5987"/>
    <w:rsid w:val="00BD764C"/>
    <w:rsid w:val="00BE4CEA"/>
    <w:rsid w:val="00BF56B2"/>
    <w:rsid w:val="00C03EFB"/>
    <w:rsid w:val="00C055AB"/>
    <w:rsid w:val="00C11F95"/>
    <w:rsid w:val="00C136DF"/>
    <w:rsid w:val="00C146B1"/>
    <w:rsid w:val="00C17501"/>
    <w:rsid w:val="00C40627"/>
    <w:rsid w:val="00C43EAF"/>
    <w:rsid w:val="00C457C3"/>
    <w:rsid w:val="00C644CA"/>
    <w:rsid w:val="00C658FC"/>
    <w:rsid w:val="00C73005"/>
    <w:rsid w:val="00C84FDC"/>
    <w:rsid w:val="00C85E18"/>
    <w:rsid w:val="00C96E9F"/>
    <w:rsid w:val="00CA35E3"/>
    <w:rsid w:val="00CA4A09"/>
    <w:rsid w:val="00CA4F06"/>
    <w:rsid w:val="00CC5A63"/>
    <w:rsid w:val="00CC787C"/>
    <w:rsid w:val="00CF36C9"/>
    <w:rsid w:val="00CF5C63"/>
    <w:rsid w:val="00D00EC4"/>
    <w:rsid w:val="00D164C8"/>
    <w:rsid w:val="00D166AC"/>
    <w:rsid w:val="00D16C4C"/>
    <w:rsid w:val="00D36BA2"/>
    <w:rsid w:val="00D37CF4"/>
    <w:rsid w:val="00D4487C"/>
    <w:rsid w:val="00D63D33"/>
    <w:rsid w:val="00D73352"/>
    <w:rsid w:val="00D74EA4"/>
    <w:rsid w:val="00D84E46"/>
    <w:rsid w:val="00D935C3"/>
    <w:rsid w:val="00DA0266"/>
    <w:rsid w:val="00DA0F4B"/>
    <w:rsid w:val="00DA477E"/>
    <w:rsid w:val="00DB4BB0"/>
    <w:rsid w:val="00DD0C2F"/>
    <w:rsid w:val="00DE461D"/>
    <w:rsid w:val="00E04039"/>
    <w:rsid w:val="00E14608"/>
    <w:rsid w:val="00E15EBE"/>
    <w:rsid w:val="00E21E67"/>
    <w:rsid w:val="00E30EBF"/>
    <w:rsid w:val="00E316C0"/>
    <w:rsid w:val="00E31E03"/>
    <w:rsid w:val="00E424CB"/>
    <w:rsid w:val="00E51170"/>
    <w:rsid w:val="00E52D70"/>
    <w:rsid w:val="00E55534"/>
    <w:rsid w:val="00E565DC"/>
    <w:rsid w:val="00E7116D"/>
    <w:rsid w:val="00E72429"/>
    <w:rsid w:val="00E83680"/>
    <w:rsid w:val="00E914D1"/>
    <w:rsid w:val="00E960D8"/>
    <w:rsid w:val="00EB488E"/>
    <w:rsid w:val="00EB5FCA"/>
    <w:rsid w:val="00ED7F68"/>
    <w:rsid w:val="00EF22FC"/>
    <w:rsid w:val="00EF2575"/>
    <w:rsid w:val="00EF5828"/>
    <w:rsid w:val="00F03B55"/>
    <w:rsid w:val="00F048D4"/>
    <w:rsid w:val="00F207FE"/>
    <w:rsid w:val="00F20920"/>
    <w:rsid w:val="00F23212"/>
    <w:rsid w:val="00F33B16"/>
    <w:rsid w:val="00F353EA"/>
    <w:rsid w:val="00F36C27"/>
    <w:rsid w:val="00F56318"/>
    <w:rsid w:val="00F67C95"/>
    <w:rsid w:val="00F724D5"/>
    <w:rsid w:val="00F74540"/>
    <w:rsid w:val="00F75B79"/>
    <w:rsid w:val="00F82525"/>
    <w:rsid w:val="00F91AC4"/>
    <w:rsid w:val="00F97FEA"/>
    <w:rsid w:val="00FA2DD8"/>
    <w:rsid w:val="00FB5CB4"/>
    <w:rsid w:val="00FB60E1"/>
    <w:rsid w:val="00FD1E6F"/>
    <w:rsid w:val="00FD3768"/>
    <w:rsid w:val="00FD51E9"/>
    <w:rsid w:val="00FF487E"/>
    <w:rsid w:val="00FF52AE"/>
    <w:rsid w:val="00FF5F5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7409"/>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fr-FR"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rsid w:val="0030316D"/>
    <w:pPr>
      <w:spacing w:line="600" w:lineRule="exact"/>
      <w:contextualSpacing/>
    </w:pPr>
    <w:rPr>
      <w:rFonts w:eastAsia="MS Mincho"/>
      <w:b/>
      <w:color w:val="5C666F"/>
      <w:sz w:val="40"/>
      <w:szCs w:val="52"/>
    </w:rPr>
  </w:style>
  <w:style w:type="character" w:customStyle="1" w:styleId="TitelZchn">
    <w:name w:val="Titel Zchn"/>
    <w:link w:val="Titel"/>
    <w:uiPriority w:val="10"/>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val="fr-FR"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val="fr-FR"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8D26D8"/>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9F0ABD"/>
    <w:pPr>
      <w:spacing w:after="220"/>
    </w:pPr>
    <w:rPr>
      <w:rFonts w:eastAsiaTheme="minorHAnsi" w:cstheme="minorBidi"/>
      <w:color w:val="000000"/>
      <w:lang w:eastAsia="en-US"/>
    </w:rPr>
  </w:style>
  <w:style w:type="paragraph" w:customStyle="1" w:styleId="Note">
    <w:name w:val="Note"/>
    <w:next w:val="Standardabsatz"/>
    <w:qFormat/>
    <w:rsid w:val="007C2FEE"/>
    <w:pPr>
      <w:snapToGrid w:val="0"/>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2E6AC6"/>
    <w:pPr>
      <w:ind w:left="720"/>
      <w:contextualSpacing/>
    </w:pPr>
    <w:rPr>
      <w:rFonts w:asciiTheme="minorHAnsi" w:eastAsiaTheme="minorHAnsi" w:hAnsiTheme="minorHAnsi" w:cstheme="minorBidi"/>
      <w:sz w:val="24"/>
      <w:szCs w:val="24"/>
    </w:rPr>
  </w:style>
  <w:style w:type="paragraph" w:styleId="StandardWeb">
    <w:name w:val="Normal (Web)"/>
    <w:basedOn w:val="Standard"/>
    <w:uiPriority w:val="99"/>
    <w:semiHidden/>
    <w:unhideWhenUsed/>
    <w:rsid w:val="00182D69"/>
    <w:pPr>
      <w:spacing w:before="100" w:beforeAutospacing="1" w:after="100" w:afterAutospacing="1"/>
    </w:pPr>
    <w:rPr>
      <w:rFonts w:ascii="Times New Roman" w:eastAsia="Times New Roman" w:hAnsi="Times New Roman"/>
      <w:sz w:val="24"/>
      <w:szCs w:val="24"/>
      <w:lang w:eastAsia="de-DE"/>
    </w:rPr>
  </w:style>
  <w:style w:type="paragraph" w:styleId="berarbeitung">
    <w:name w:val="Revision"/>
    <w:hidden/>
    <w:uiPriority w:val="71"/>
    <w:semiHidden/>
    <w:rsid w:val="00EF22FC"/>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625927">
      <w:bodyDiv w:val="1"/>
      <w:marLeft w:val="0"/>
      <w:marRight w:val="0"/>
      <w:marTop w:val="0"/>
      <w:marBottom w:val="0"/>
      <w:divBdr>
        <w:top w:val="none" w:sz="0" w:space="0" w:color="auto"/>
        <w:left w:val="none" w:sz="0" w:space="0" w:color="auto"/>
        <w:bottom w:val="none" w:sz="0" w:space="0" w:color="auto"/>
        <w:right w:val="none" w:sz="0" w:space="0" w:color="auto"/>
      </w:divBdr>
      <w:divsChild>
        <w:div w:id="1087732768">
          <w:marLeft w:val="0"/>
          <w:marRight w:val="0"/>
          <w:marTop w:val="0"/>
          <w:marBottom w:val="0"/>
          <w:divBdr>
            <w:top w:val="none" w:sz="0" w:space="0" w:color="auto"/>
            <w:left w:val="none" w:sz="0" w:space="0" w:color="auto"/>
            <w:bottom w:val="none" w:sz="0" w:space="0" w:color="auto"/>
            <w:right w:val="none" w:sz="0" w:space="0" w:color="auto"/>
          </w:divBdr>
        </w:div>
      </w:divsChild>
    </w:div>
    <w:div w:id="234626894">
      <w:bodyDiv w:val="1"/>
      <w:marLeft w:val="0"/>
      <w:marRight w:val="0"/>
      <w:marTop w:val="0"/>
      <w:marBottom w:val="0"/>
      <w:divBdr>
        <w:top w:val="none" w:sz="0" w:space="0" w:color="auto"/>
        <w:left w:val="none" w:sz="0" w:space="0" w:color="auto"/>
        <w:bottom w:val="none" w:sz="0" w:space="0" w:color="auto"/>
        <w:right w:val="none" w:sz="0" w:space="0" w:color="auto"/>
      </w:divBdr>
    </w:div>
    <w:div w:id="381759614">
      <w:bodyDiv w:val="1"/>
      <w:marLeft w:val="0"/>
      <w:marRight w:val="0"/>
      <w:marTop w:val="0"/>
      <w:marBottom w:val="0"/>
      <w:divBdr>
        <w:top w:val="none" w:sz="0" w:space="0" w:color="auto"/>
        <w:left w:val="none" w:sz="0" w:space="0" w:color="auto"/>
        <w:bottom w:val="none" w:sz="0" w:space="0" w:color="auto"/>
        <w:right w:val="none" w:sz="0" w:space="0" w:color="auto"/>
      </w:divBdr>
    </w:div>
    <w:div w:id="434400566">
      <w:bodyDiv w:val="1"/>
      <w:marLeft w:val="0"/>
      <w:marRight w:val="0"/>
      <w:marTop w:val="0"/>
      <w:marBottom w:val="0"/>
      <w:divBdr>
        <w:top w:val="none" w:sz="0" w:space="0" w:color="auto"/>
        <w:left w:val="none" w:sz="0" w:space="0" w:color="auto"/>
        <w:bottom w:val="none" w:sz="0" w:space="0" w:color="auto"/>
        <w:right w:val="none" w:sz="0" w:space="0" w:color="auto"/>
      </w:divBdr>
    </w:div>
    <w:div w:id="625695388">
      <w:bodyDiv w:val="1"/>
      <w:marLeft w:val="0"/>
      <w:marRight w:val="0"/>
      <w:marTop w:val="0"/>
      <w:marBottom w:val="0"/>
      <w:divBdr>
        <w:top w:val="none" w:sz="0" w:space="0" w:color="auto"/>
        <w:left w:val="none" w:sz="0" w:space="0" w:color="auto"/>
        <w:bottom w:val="none" w:sz="0" w:space="0" w:color="auto"/>
        <w:right w:val="none" w:sz="0" w:space="0" w:color="auto"/>
      </w:divBdr>
    </w:div>
    <w:div w:id="737359961">
      <w:bodyDiv w:val="1"/>
      <w:marLeft w:val="0"/>
      <w:marRight w:val="0"/>
      <w:marTop w:val="0"/>
      <w:marBottom w:val="0"/>
      <w:divBdr>
        <w:top w:val="none" w:sz="0" w:space="0" w:color="auto"/>
        <w:left w:val="none" w:sz="0" w:space="0" w:color="auto"/>
        <w:bottom w:val="none" w:sz="0" w:space="0" w:color="auto"/>
        <w:right w:val="none" w:sz="0" w:space="0" w:color="auto"/>
      </w:divBdr>
    </w:div>
    <w:div w:id="866262667">
      <w:bodyDiv w:val="1"/>
      <w:marLeft w:val="0"/>
      <w:marRight w:val="0"/>
      <w:marTop w:val="0"/>
      <w:marBottom w:val="0"/>
      <w:divBdr>
        <w:top w:val="none" w:sz="0" w:space="0" w:color="auto"/>
        <w:left w:val="none" w:sz="0" w:space="0" w:color="auto"/>
        <w:bottom w:val="none" w:sz="0" w:space="0" w:color="auto"/>
        <w:right w:val="none" w:sz="0" w:space="0" w:color="auto"/>
      </w:divBdr>
    </w:div>
    <w:div w:id="908271207">
      <w:bodyDiv w:val="1"/>
      <w:marLeft w:val="0"/>
      <w:marRight w:val="0"/>
      <w:marTop w:val="0"/>
      <w:marBottom w:val="0"/>
      <w:divBdr>
        <w:top w:val="none" w:sz="0" w:space="0" w:color="auto"/>
        <w:left w:val="none" w:sz="0" w:space="0" w:color="auto"/>
        <w:bottom w:val="none" w:sz="0" w:space="0" w:color="auto"/>
        <w:right w:val="none" w:sz="0" w:space="0" w:color="auto"/>
      </w:divBdr>
    </w:div>
    <w:div w:id="940797214">
      <w:bodyDiv w:val="1"/>
      <w:marLeft w:val="0"/>
      <w:marRight w:val="0"/>
      <w:marTop w:val="0"/>
      <w:marBottom w:val="0"/>
      <w:divBdr>
        <w:top w:val="none" w:sz="0" w:space="0" w:color="auto"/>
        <w:left w:val="none" w:sz="0" w:space="0" w:color="auto"/>
        <w:bottom w:val="none" w:sz="0" w:space="0" w:color="auto"/>
        <w:right w:val="none" w:sz="0" w:space="0" w:color="auto"/>
      </w:divBdr>
    </w:div>
    <w:div w:id="1057247338">
      <w:bodyDiv w:val="1"/>
      <w:marLeft w:val="0"/>
      <w:marRight w:val="0"/>
      <w:marTop w:val="0"/>
      <w:marBottom w:val="0"/>
      <w:divBdr>
        <w:top w:val="none" w:sz="0" w:space="0" w:color="auto"/>
        <w:left w:val="none" w:sz="0" w:space="0" w:color="auto"/>
        <w:bottom w:val="none" w:sz="0" w:space="0" w:color="auto"/>
        <w:right w:val="none" w:sz="0" w:space="0" w:color="auto"/>
      </w:divBdr>
    </w:div>
    <w:div w:id="1299800352">
      <w:bodyDiv w:val="1"/>
      <w:marLeft w:val="0"/>
      <w:marRight w:val="0"/>
      <w:marTop w:val="0"/>
      <w:marBottom w:val="0"/>
      <w:divBdr>
        <w:top w:val="none" w:sz="0" w:space="0" w:color="auto"/>
        <w:left w:val="none" w:sz="0" w:space="0" w:color="auto"/>
        <w:bottom w:val="none" w:sz="0" w:space="0" w:color="auto"/>
        <w:right w:val="none" w:sz="0" w:space="0" w:color="auto"/>
      </w:divBdr>
    </w:div>
    <w:div w:id="1548027481">
      <w:bodyDiv w:val="1"/>
      <w:marLeft w:val="0"/>
      <w:marRight w:val="0"/>
      <w:marTop w:val="0"/>
      <w:marBottom w:val="0"/>
      <w:divBdr>
        <w:top w:val="none" w:sz="0" w:space="0" w:color="auto"/>
        <w:left w:val="none" w:sz="0" w:space="0" w:color="auto"/>
        <w:bottom w:val="none" w:sz="0" w:space="0" w:color="auto"/>
        <w:right w:val="none" w:sz="0" w:space="0" w:color="auto"/>
      </w:divBdr>
    </w:div>
    <w:div w:id="1553038747">
      <w:bodyDiv w:val="1"/>
      <w:marLeft w:val="0"/>
      <w:marRight w:val="0"/>
      <w:marTop w:val="0"/>
      <w:marBottom w:val="0"/>
      <w:divBdr>
        <w:top w:val="none" w:sz="0" w:space="0" w:color="auto"/>
        <w:left w:val="none" w:sz="0" w:space="0" w:color="auto"/>
        <w:bottom w:val="none" w:sz="0" w:space="0" w:color="auto"/>
        <w:right w:val="none" w:sz="0" w:space="0" w:color="auto"/>
      </w:divBdr>
    </w:div>
    <w:div w:id="1654915629">
      <w:bodyDiv w:val="1"/>
      <w:marLeft w:val="0"/>
      <w:marRight w:val="0"/>
      <w:marTop w:val="0"/>
      <w:marBottom w:val="0"/>
      <w:divBdr>
        <w:top w:val="none" w:sz="0" w:space="0" w:color="auto"/>
        <w:left w:val="none" w:sz="0" w:space="0" w:color="auto"/>
        <w:bottom w:val="none" w:sz="0" w:space="0" w:color="auto"/>
        <w:right w:val="none" w:sz="0" w:space="0" w:color="auto"/>
      </w:divBdr>
    </w:div>
    <w:div w:id="1703357306">
      <w:bodyDiv w:val="1"/>
      <w:marLeft w:val="0"/>
      <w:marRight w:val="0"/>
      <w:marTop w:val="0"/>
      <w:marBottom w:val="0"/>
      <w:divBdr>
        <w:top w:val="none" w:sz="0" w:space="0" w:color="auto"/>
        <w:left w:val="none" w:sz="0" w:space="0" w:color="auto"/>
        <w:bottom w:val="none" w:sz="0" w:space="0" w:color="auto"/>
        <w:right w:val="none" w:sz="0" w:space="0" w:color="auto"/>
      </w:divBdr>
    </w:div>
    <w:div w:id="1966155017">
      <w:bodyDiv w:val="1"/>
      <w:marLeft w:val="0"/>
      <w:marRight w:val="0"/>
      <w:marTop w:val="0"/>
      <w:marBottom w:val="0"/>
      <w:divBdr>
        <w:top w:val="none" w:sz="0" w:space="0" w:color="auto"/>
        <w:left w:val="none" w:sz="0" w:space="0" w:color="auto"/>
        <w:bottom w:val="none" w:sz="0" w:space="0" w:color="auto"/>
        <w:right w:val="none" w:sz="0" w:space="0" w:color="auto"/>
      </w:divBdr>
    </w:div>
    <w:div w:id="209874387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5.emf"/></Relationships>
</file>

<file path=word/_rels/header3.xml.rels><?xml version="1.0" encoding="UTF-8" standalone="yes"?>
<Relationships xmlns="http://schemas.openxmlformats.org/package/2006/relationships"><Relationship Id="rId2" Type="http://schemas.openxmlformats.org/officeDocument/2006/relationships/image" Target="media/image7.wmf"/><Relationship Id="rId1" Type="http://schemas.openxmlformats.org/officeDocument/2006/relationships/image" Target="media/image6.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http://schemas.openxmlformats.org/officeDocument/2006/bibliography" xmlns:b="http://schemas.openxmlformats.org/officeDocument/2006/bibliography" xmlns:star_td="http://www.star-group.net/schemas/transit/filters/textdata" SelectedStyle="\APA.XSL" StyleName="APA"/>
</file>

<file path=customXml/itemProps1.xml><?xml version="1.0" encoding="utf-8"?>
<ds:datastoreItem xmlns:ds="http://schemas.openxmlformats.org/officeDocument/2006/customXml" ds:itemID="{150AB286-2E98-4509-AC41-5C934F808DDB}">
  <ds:schemaRefs>
    <ds:schemaRef ds:uri="http://schemas.openxmlformats.org/officeDocument/2006/bibliography"/>
    <ds:schemaRef ds:uri="http://www.star-group.net/schemas/transit/filters/textdata"/>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3</Pages>
  <Words>724</Words>
  <Characters>4567</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5281</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Maier, Annabell</cp:lastModifiedBy>
  <cp:revision>5</cp:revision>
  <cp:lastPrinted>2021-10-20T14:00:00Z</cp:lastPrinted>
  <dcterms:created xsi:type="dcterms:W3CDTF">2022-07-27T12:46:00Z</dcterms:created>
  <dcterms:modified xsi:type="dcterms:W3CDTF">2022-09-20T15:30:00Z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7,8,b</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2022-03-30T10:31:29Z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a95d0c69-2041-48c5-afeb-98724b6db7fa</vt:lpwstr>
  </property>
  <property fmtid="{D5CDD505-2E9C-101B-9397-08002B2CF9AE}" pid="11" name="MSIP_Label_df1a195f-122b-42dc-a2d3-71a1903dcdac_ContentBits">
    <vt:lpwstr>1</vt:lpwstr>
  </property>
</Properties>
</file>